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E1126E" w14:textId="1898829A" w:rsidR="00B67361" w:rsidRPr="00D93032" w:rsidRDefault="002860F2" w:rsidP="00B67361">
      <w:pPr>
        <w:pStyle w:val="Ttulo"/>
        <w:ind w:left="-142" w:right="-138"/>
        <w:rPr>
          <w:rFonts w:eastAsia="MS Mincho"/>
          <w:noProof w:val="0"/>
          <w:u w:val="single"/>
        </w:rPr>
      </w:pPr>
      <w:r w:rsidRPr="00D93032">
        <w:rPr>
          <w:rFonts w:eastAsia="MS Mincho"/>
          <w:noProof w:val="0"/>
          <w:u w:val="single"/>
        </w:rPr>
        <w:t xml:space="preserve">Caso </w:t>
      </w:r>
      <w:r w:rsidR="000E6C6C">
        <w:rPr>
          <w:rFonts w:eastAsia="MS Mincho"/>
          <w:noProof w:val="0"/>
          <w:u w:val="single"/>
        </w:rPr>
        <w:t>Ruiz Fuentes y otra</w:t>
      </w:r>
      <w:r w:rsidR="00FC2496">
        <w:rPr>
          <w:rFonts w:eastAsia="MS Mincho"/>
          <w:noProof w:val="0"/>
          <w:u w:val="single"/>
        </w:rPr>
        <w:t xml:space="preserve"> </w:t>
      </w:r>
      <w:r w:rsidR="005324B2">
        <w:rPr>
          <w:rFonts w:eastAsia="MS Mincho"/>
          <w:i/>
          <w:noProof w:val="0"/>
          <w:u w:val="single"/>
        </w:rPr>
        <w:t>Vs</w:t>
      </w:r>
      <w:r w:rsidR="00B67361" w:rsidRPr="00D93032">
        <w:rPr>
          <w:rFonts w:eastAsia="MS Mincho"/>
          <w:noProof w:val="0"/>
          <w:u w:val="single"/>
        </w:rPr>
        <w:t xml:space="preserve">. </w:t>
      </w:r>
      <w:r w:rsidRPr="00D93032">
        <w:rPr>
          <w:rFonts w:eastAsia="MS Mincho"/>
          <w:noProof w:val="0"/>
          <w:u w:val="single"/>
        </w:rPr>
        <w:t>Guatemala</w:t>
      </w:r>
      <w:r w:rsidR="005324B2">
        <w:rPr>
          <w:rFonts w:eastAsia="MS Mincho"/>
          <w:noProof w:val="0"/>
          <w:u w:val="single"/>
        </w:rPr>
        <w:t>: reparaciones</w:t>
      </w:r>
      <w:r w:rsidR="00D93032" w:rsidRPr="00D93032">
        <w:rPr>
          <w:rFonts w:eastAsia="MS Mincho"/>
          <w:noProof w:val="0"/>
          <w:u w:val="single"/>
        </w:rPr>
        <w:t xml:space="preserve"> pendientes de cumplimiento</w:t>
      </w:r>
    </w:p>
    <w:p w14:paraId="0EEF1746" w14:textId="5D598647" w:rsidR="00CF04C9" w:rsidRPr="00ED2F65" w:rsidRDefault="00CF04C9" w:rsidP="00CF04C9">
      <w:pPr>
        <w:pStyle w:val="Prrafodelista"/>
        <w:spacing w:after="40"/>
        <w:ind w:left="0"/>
      </w:pPr>
    </w:p>
    <w:p w14:paraId="055C8744" w14:textId="4DB2CE6B" w:rsidR="004F3152" w:rsidRPr="002E2A11" w:rsidRDefault="00DE3909" w:rsidP="00B20C91">
      <w:pPr>
        <w:pStyle w:val="Prrafodelista"/>
        <w:numPr>
          <w:ilvl w:val="0"/>
          <w:numId w:val="3"/>
        </w:numPr>
        <w:spacing w:after="40"/>
        <w:ind w:left="0" w:firstLine="0"/>
        <w:rPr>
          <w:lang w:val="es-CR"/>
        </w:rPr>
      </w:pPr>
      <w:r>
        <w:t>Continuar</w:t>
      </w:r>
      <w:r w:rsidR="004F3152">
        <w:t xml:space="preserve"> con las investigaciones que sean necesarias para identificar, juzgar y, en su caso, sancionar a los responsables de la muerte del señor Hugo Humberto Ruiz Fuentes, en los términos del párrafo 200 de la presente Sentencia.</w:t>
      </w:r>
    </w:p>
    <w:p w14:paraId="7D280D6C" w14:textId="77777777" w:rsidR="002E2A11" w:rsidRPr="002E2A11" w:rsidRDefault="002E2A11" w:rsidP="002E2A11">
      <w:pPr>
        <w:pStyle w:val="Prrafodelista"/>
        <w:spacing w:after="40"/>
        <w:ind w:left="0"/>
        <w:rPr>
          <w:lang w:val="es-CR"/>
        </w:rPr>
      </w:pPr>
    </w:p>
    <w:p w14:paraId="17CAF831" w14:textId="52B32899" w:rsidR="002E2A11" w:rsidRPr="002E2A11" w:rsidRDefault="002E2A11" w:rsidP="002E2A11">
      <w:pPr>
        <w:pStyle w:val="Prrafodelista"/>
        <w:numPr>
          <w:ilvl w:val="0"/>
          <w:numId w:val="3"/>
        </w:numPr>
        <w:spacing w:after="40"/>
        <w:ind w:left="0" w:firstLine="0"/>
        <w:rPr>
          <w:lang w:val="es-CR"/>
        </w:rPr>
      </w:pPr>
      <w:r>
        <w:t>Iniciar, de acuerdo a lo previsto en la legislación interna, en un plazo no superior a seis meses, las investigaciones que sean necesarias para identificar, juzgar y, en su caso, sancionar a los responsables de las torturas sufridas por el señor Hugo Humberto del párrafo 201 de la presente Sentencia.</w:t>
      </w:r>
    </w:p>
    <w:p w14:paraId="5FA5B5A3" w14:textId="77777777" w:rsidR="00B243BE" w:rsidRPr="00B243BE" w:rsidRDefault="00B243BE" w:rsidP="00B243BE">
      <w:pPr>
        <w:pStyle w:val="Prrafodelista"/>
        <w:spacing w:after="40"/>
        <w:ind w:left="0"/>
        <w:rPr>
          <w:lang w:val="es-CR"/>
        </w:rPr>
      </w:pPr>
    </w:p>
    <w:p w14:paraId="170B6BCB" w14:textId="6B812ED7" w:rsidR="00B243BE" w:rsidRPr="00DE3909" w:rsidRDefault="00B243BE" w:rsidP="00B20C91">
      <w:pPr>
        <w:pStyle w:val="Prrafodelista"/>
        <w:numPr>
          <w:ilvl w:val="0"/>
          <w:numId w:val="3"/>
        </w:numPr>
        <w:spacing w:after="40"/>
        <w:ind w:left="0" w:firstLine="0"/>
        <w:rPr>
          <w:lang w:val="es-CR"/>
        </w:rPr>
      </w:pPr>
      <w:r>
        <w:t>Modificar el artículo 201 bis del Código Penal para que el tipo penal de tortura se adecúe a los estándares internacionales de derechos humanos.</w:t>
      </w:r>
    </w:p>
    <w:p w14:paraId="47E85E34" w14:textId="77777777" w:rsidR="00DE3909" w:rsidRPr="00DE3909" w:rsidRDefault="00DE3909" w:rsidP="00DE3909">
      <w:pPr>
        <w:pStyle w:val="Prrafodelista"/>
        <w:spacing w:after="40"/>
        <w:ind w:left="0"/>
        <w:rPr>
          <w:lang w:val="es-CR"/>
        </w:rPr>
      </w:pPr>
    </w:p>
    <w:p w14:paraId="3872D9DE" w14:textId="224938D4" w:rsidR="00DE3909" w:rsidRPr="00DE3909" w:rsidRDefault="00DE3909" w:rsidP="00DE3909">
      <w:pPr>
        <w:pStyle w:val="Prrafodelista"/>
        <w:numPr>
          <w:ilvl w:val="0"/>
          <w:numId w:val="3"/>
        </w:numPr>
        <w:spacing w:after="40"/>
        <w:ind w:left="0" w:firstLine="0"/>
        <w:rPr>
          <w:lang w:val="es-CR"/>
        </w:rPr>
      </w:pPr>
      <w:bookmarkStart w:id="0" w:name="_Hlk123132345"/>
      <w:r>
        <w:t xml:space="preserve">Pagar las cantidades fijadas en </w:t>
      </w:r>
      <w:r w:rsidR="00CF3089">
        <w:t>el</w:t>
      </w:r>
      <w:r>
        <w:t xml:space="preserve"> párrafo 252 de la presente Sentencia por concepto de costas.</w:t>
      </w:r>
    </w:p>
    <w:bookmarkEnd w:id="0"/>
    <w:p w14:paraId="134E89F1" w14:textId="77777777" w:rsidR="00B243BE" w:rsidRPr="003625DB" w:rsidRDefault="00B243BE" w:rsidP="00B243BE">
      <w:pPr>
        <w:pStyle w:val="Prrafodelista"/>
        <w:spacing w:after="40"/>
        <w:ind w:left="0"/>
        <w:rPr>
          <w:lang w:val="es-CR"/>
        </w:rPr>
      </w:pPr>
    </w:p>
    <w:sectPr w:rsidR="00B243BE" w:rsidRPr="003625D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AE2C26" w14:textId="77777777" w:rsidR="001E7C0F" w:rsidRDefault="001E7C0F" w:rsidP="00FF526A">
      <w:r>
        <w:separator/>
      </w:r>
    </w:p>
  </w:endnote>
  <w:endnote w:type="continuationSeparator" w:id="0">
    <w:p w14:paraId="1B76B387" w14:textId="77777777" w:rsidR="001E7C0F" w:rsidRDefault="001E7C0F" w:rsidP="00FF5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6085F" w14:textId="13722DDA" w:rsidR="00FF526A" w:rsidRDefault="00FF526A" w:rsidP="00FF526A">
    <w:pPr>
      <w:pStyle w:val="Piedepgina"/>
    </w:pPr>
    <w:r w:rsidRPr="00FF526A">
      <w:rPr>
        <w:rFonts w:eastAsiaTheme="minorHAnsi" w:cs="Verdana"/>
        <w:noProof w:val="0"/>
        <w:color w:val="000000"/>
        <w:sz w:val="16"/>
        <w:szCs w:val="16"/>
        <w:lang w:val="es-CR"/>
      </w:rPr>
      <w:t>La presente sistematización de información fue realizada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1ECAC7" w14:textId="77777777" w:rsidR="001E7C0F" w:rsidRDefault="001E7C0F" w:rsidP="00FF526A">
      <w:r>
        <w:separator/>
      </w:r>
    </w:p>
  </w:footnote>
  <w:footnote w:type="continuationSeparator" w:id="0">
    <w:p w14:paraId="74C04133" w14:textId="77777777" w:rsidR="001E7C0F" w:rsidRDefault="001E7C0F" w:rsidP="00FF52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35652"/>
    <w:multiLevelType w:val="hybridMultilevel"/>
    <w:tmpl w:val="AD982202"/>
    <w:lvl w:ilvl="0" w:tplc="0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7515E9E"/>
    <w:multiLevelType w:val="hybridMultilevel"/>
    <w:tmpl w:val="F0ACA26C"/>
    <w:lvl w:ilvl="0" w:tplc="8368CDDA">
      <w:start w:val="1"/>
      <w:numFmt w:val="decimal"/>
      <w:lvlText w:val="%1."/>
      <w:lvlJc w:val="left"/>
      <w:pPr>
        <w:ind w:left="720" w:hanging="360"/>
      </w:pPr>
      <w:rPr>
        <w:sz w:val="20"/>
        <w:szCs w:val="20"/>
        <w:lang w:val="es-EC"/>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9DE05C3"/>
    <w:multiLevelType w:val="hybridMultilevel"/>
    <w:tmpl w:val="99E2041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439691467">
    <w:abstractNumId w:val="1"/>
  </w:num>
  <w:num w:numId="2" w16cid:durableId="188833220">
    <w:abstractNumId w:val="2"/>
  </w:num>
  <w:num w:numId="3" w16cid:durableId="119809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361"/>
    <w:rsid w:val="000E6C6C"/>
    <w:rsid w:val="001E7C0F"/>
    <w:rsid w:val="002860F2"/>
    <w:rsid w:val="002E2A11"/>
    <w:rsid w:val="003625DB"/>
    <w:rsid w:val="003A7E5E"/>
    <w:rsid w:val="003F48C6"/>
    <w:rsid w:val="00417330"/>
    <w:rsid w:val="00426F5F"/>
    <w:rsid w:val="00481AF5"/>
    <w:rsid w:val="004F3152"/>
    <w:rsid w:val="005324B2"/>
    <w:rsid w:val="005A091B"/>
    <w:rsid w:val="00707DF0"/>
    <w:rsid w:val="00912F04"/>
    <w:rsid w:val="009832C0"/>
    <w:rsid w:val="009B5D1C"/>
    <w:rsid w:val="00B20C91"/>
    <w:rsid w:val="00B243BE"/>
    <w:rsid w:val="00B67361"/>
    <w:rsid w:val="00C9453F"/>
    <w:rsid w:val="00CF04C9"/>
    <w:rsid w:val="00CF0EC9"/>
    <w:rsid w:val="00CF3089"/>
    <w:rsid w:val="00D766CA"/>
    <w:rsid w:val="00D93032"/>
    <w:rsid w:val="00D945B4"/>
    <w:rsid w:val="00DE3909"/>
    <w:rsid w:val="00E96AE4"/>
    <w:rsid w:val="00FC2496"/>
    <w:rsid w:val="00FF5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6FEE7"/>
  <w15:docId w15:val="{F87E53C9-045B-4595-AFF2-EE2A67AC1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361"/>
    <w:pPr>
      <w:spacing w:after="0" w:line="240" w:lineRule="auto"/>
      <w:jc w:val="both"/>
    </w:pPr>
    <w:rPr>
      <w:rFonts w:ascii="Verdana" w:eastAsia="Batang" w:hAnsi="Verdana" w:cs="Times"/>
      <w:noProof/>
      <w:sz w:val="20"/>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B67361"/>
    <w:pPr>
      <w:jc w:val="center"/>
    </w:pPr>
    <w:rPr>
      <w:rFonts w:eastAsia="Times New Roman" w:cs="Times New Roman"/>
      <w:b/>
      <w:szCs w:val="20"/>
    </w:rPr>
  </w:style>
  <w:style w:type="character" w:customStyle="1" w:styleId="TtuloCar">
    <w:name w:val="Título Car"/>
    <w:basedOn w:val="Fuentedeprrafopredeter"/>
    <w:link w:val="Ttulo"/>
    <w:rsid w:val="00B67361"/>
    <w:rPr>
      <w:rFonts w:ascii="Verdana" w:eastAsia="Times New Roman" w:hAnsi="Verdana" w:cs="Times New Roman"/>
      <w:b/>
      <w:noProof/>
      <w:sz w:val="20"/>
      <w:szCs w:val="20"/>
      <w:lang w:val="es-ES_tradnl"/>
    </w:rPr>
  </w:style>
  <w:style w:type="paragraph" w:styleId="Subttulo">
    <w:name w:val="Subtitle"/>
    <w:basedOn w:val="Normal"/>
    <w:next w:val="Normal"/>
    <w:link w:val="SubttuloCar"/>
    <w:uiPriority w:val="11"/>
    <w:qFormat/>
    <w:rsid w:val="00B67361"/>
    <w:pPr>
      <w:numPr>
        <w:ilvl w:val="1"/>
      </w:numPr>
      <w:jc w:val="center"/>
    </w:pPr>
    <w:rPr>
      <w:rFonts w:eastAsia="Times New Roman" w:cs="Times New Roman"/>
      <w:b/>
      <w:i/>
      <w:iCs/>
      <w:spacing w:val="15"/>
    </w:rPr>
  </w:style>
  <w:style w:type="character" w:customStyle="1" w:styleId="SubttuloCar">
    <w:name w:val="Subtítulo Car"/>
    <w:basedOn w:val="Fuentedeprrafopredeter"/>
    <w:link w:val="Subttulo"/>
    <w:uiPriority w:val="11"/>
    <w:rsid w:val="00B67361"/>
    <w:rPr>
      <w:rFonts w:ascii="Verdana" w:eastAsia="Times New Roman" w:hAnsi="Verdana" w:cs="Times New Roman"/>
      <w:b/>
      <w:i/>
      <w:iCs/>
      <w:noProof/>
      <w:spacing w:val="15"/>
      <w:sz w:val="20"/>
      <w:szCs w:val="24"/>
      <w:lang w:val="es-ES_tradnl"/>
    </w:rPr>
  </w:style>
  <w:style w:type="paragraph" w:customStyle="1" w:styleId="Default">
    <w:name w:val="Default"/>
    <w:rsid w:val="00B67361"/>
    <w:pPr>
      <w:autoSpaceDE w:val="0"/>
      <w:autoSpaceDN w:val="0"/>
      <w:adjustRightInd w:val="0"/>
      <w:spacing w:after="0" w:line="240" w:lineRule="auto"/>
    </w:pPr>
    <w:rPr>
      <w:rFonts w:ascii="Verdana" w:eastAsia="Calibri" w:hAnsi="Verdana" w:cs="Verdana"/>
      <w:color w:val="000000"/>
      <w:sz w:val="24"/>
      <w:szCs w:val="24"/>
    </w:rPr>
  </w:style>
  <w:style w:type="paragraph" w:styleId="Prrafodelista">
    <w:name w:val="List Paragraph"/>
    <w:aliases w:val="Footnote,List Paragraph1,Párrafo de lista1,Colorful List - Accent 11,List Paragraph2,Lista vistosa - Énfasis 11"/>
    <w:basedOn w:val="Normal"/>
    <w:link w:val="PrrafodelistaCar"/>
    <w:uiPriority w:val="34"/>
    <w:qFormat/>
    <w:rsid w:val="00912F04"/>
    <w:pPr>
      <w:ind w:left="720"/>
      <w:contextualSpacing/>
    </w:pPr>
  </w:style>
  <w:style w:type="character" w:customStyle="1" w:styleId="PrrafodelistaCar">
    <w:name w:val="Párrafo de lista Car"/>
    <w:aliases w:val="Footnote Car,List Paragraph1 Car,Párrafo de lista1 Car,Colorful List - Accent 11 Car,List Paragraph2 Car,Lista vistosa - Énfasis 11 Car"/>
    <w:link w:val="Prrafodelista"/>
    <w:uiPriority w:val="34"/>
    <w:rsid w:val="00CF04C9"/>
    <w:rPr>
      <w:rFonts w:ascii="Verdana" w:eastAsia="Batang" w:hAnsi="Verdana" w:cs="Times"/>
      <w:noProof/>
      <w:sz w:val="20"/>
      <w:szCs w:val="24"/>
      <w:lang w:val="es-ES_tradnl"/>
    </w:rPr>
  </w:style>
  <w:style w:type="paragraph" w:styleId="Encabezado">
    <w:name w:val="header"/>
    <w:basedOn w:val="Normal"/>
    <w:link w:val="EncabezadoCar"/>
    <w:uiPriority w:val="99"/>
    <w:unhideWhenUsed/>
    <w:rsid w:val="00FF526A"/>
    <w:pPr>
      <w:tabs>
        <w:tab w:val="center" w:pos="4419"/>
        <w:tab w:val="right" w:pos="8838"/>
      </w:tabs>
    </w:pPr>
  </w:style>
  <w:style w:type="character" w:customStyle="1" w:styleId="EncabezadoCar">
    <w:name w:val="Encabezado Car"/>
    <w:basedOn w:val="Fuentedeprrafopredeter"/>
    <w:link w:val="Encabezado"/>
    <w:uiPriority w:val="99"/>
    <w:rsid w:val="00FF526A"/>
    <w:rPr>
      <w:rFonts w:ascii="Verdana" w:eastAsia="Batang" w:hAnsi="Verdana" w:cs="Times"/>
      <w:noProof/>
      <w:sz w:val="20"/>
      <w:szCs w:val="24"/>
      <w:lang w:val="es-ES_tradnl"/>
    </w:rPr>
  </w:style>
  <w:style w:type="paragraph" w:styleId="Piedepgina">
    <w:name w:val="footer"/>
    <w:basedOn w:val="Normal"/>
    <w:link w:val="PiedepginaCar"/>
    <w:uiPriority w:val="99"/>
    <w:unhideWhenUsed/>
    <w:rsid w:val="00FF526A"/>
    <w:pPr>
      <w:tabs>
        <w:tab w:val="center" w:pos="4419"/>
        <w:tab w:val="right" w:pos="8838"/>
      </w:tabs>
    </w:pPr>
  </w:style>
  <w:style w:type="character" w:customStyle="1" w:styleId="PiedepginaCar">
    <w:name w:val="Pie de página Car"/>
    <w:basedOn w:val="Fuentedeprrafopredeter"/>
    <w:link w:val="Piedepgina"/>
    <w:uiPriority w:val="99"/>
    <w:rsid w:val="00FF526A"/>
    <w:rPr>
      <w:rFonts w:ascii="Verdana" w:eastAsia="Batang" w:hAnsi="Verdana" w:cs="Times"/>
      <w:noProof/>
      <w:sz w:val="20"/>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132</Words>
  <Characters>728</Characters>
  <Application>Microsoft Office Word</Application>
  <DocSecurity>0</DocSecurity>
  <Lines>6</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Genesis Ugalde</cp:lastModifiedBy>
  <cp:revision>5</cp:revision>
  <dcterms:created xsi:type="dcterms:W3CDTF">2021-12-22T00:23:00Z</dcterms:created>
  <dcterms:modified xsi:type="dcterms:W3CDTF">2024-12-20T19:33:00Z</dcterms:modified>
</cp:coreProperties>
</file>